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2024年校级教育教学改革项目结题要求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一、校级规划教材建设专项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按照《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四川传媒学院教材建设管理办法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》，在国家新闻出版署批准的正规出版社正式出版教材1本。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重点项目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（含省级培育项目）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（一）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研究报告，字数不少于1万字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（二）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以四川传媒学院为第一完成单位、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第一作者或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主编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身份发表学术论文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、出版专著、教材以及与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项目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密切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相关的标志性成果（以下条件满足其一即可）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（1）《四川传媒学院期刊（著作）定级标准》（川媒院【2021】59号）中规定的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五类及以上高质量论文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篇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（2）公开出版的专著或教材1本；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（3）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知网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检索的期刊学术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论文1篇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以及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与项目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密切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相关的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省部级以上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标志性成果。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8"/>
          <w:szCs w:val="28"/>
          <w:lang w:val="en-US" w:eastAsia="zh-CN" w:bidi="ar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 w:bidi="ar"/>
        </w:rPr>
        <w:t>一般项目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（一）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研究报告，字数不少于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000字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（二）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项目主持人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应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以四川传媒学院为第一完成单位、第一作者或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主编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身份发表学术论文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、出版专著、教材以及与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项目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密切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相关的标志性成果（以下条件满足其一即可）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（1）公开出版的专著或教材1本；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（2）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知网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检索的期刊学术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论文1篇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以及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与项目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密切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相关的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 w:bidi="ar"/>
        </w:rPr>
        <w:t>校级以上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标志性成果。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MzliMjUzNWU4MjExYmExY2U1NzY5ZjRjYThmMGIifQ=="/>
  </w:docVars>
  <w:rsids>
    <w:rsidRoot w:val="49566BD3"/>
    <w:rsid w:val="267E2C6A"/>
    <w:rsid w:val="3F295451"/>
    <w:rsid w:val="49566BD3"/>
    <w:rsid w:val="4A2F4EC1"/>
    <w:rsid w:val="5EE5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433</Characters>
  <Lines>0</Lines>
  <Paragraphs>0</Paragraphs>
  <TotalTime>16</TotalTime>
  <ScaleCrop>false</ScaleCrop>
  <LinksUpToDate>false</LinksUpToDate>
  <CharactersWithSpaces>433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2024-05-27T08:34:00Z</dcterms:created>
  <dc:creator>一股小清流</dc:creator>
  <cp:lastModifiedBy>一股小清流</cp:lastModifiedBy>
  <dcterms:modified xsi:type="dcterms:W3CDTF">2024-06-06T07:58:26Z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D487E7D2DA3344C4B25FC2F4E50DF33D_13</vt:lpwstr>
  </property>
</Properties>
</file>